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Override PartName="/word/theme/themeOverride1.xml" ContentType="application/vnd.openxmlformats-officedocument.themeOverride+xml"/>
  <Default Extension="jpeg" ContentType="image/jpeg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D9" w:rsidRDefault="004548BE" w:rsidP="003663D9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63D9" w:rsidRDefault="003663D9" w:rsidP="001D45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63D9" w:rsidRDefault="003663D9" w:rsidP="003663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663D9">
        <w:rPr>
          <w:rFonts w:ascii="Times New Roman" w:hAnsi="Times New Roman"/>
          <w:b/>
          <w:sz w:val="28"/>
          <w:szCs w:val="28"/>
        </w:rPr>
        <w:t>Анализ</w:t>
      </w:r>
    </w:p>
    <w:p w:rsidR="003663D9" w:rsidRPr="003663D9" w:rsidRDefault="003663D9" w:rsidP="003663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3663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состояния</w:t>
      </w:r>
      <w:r w:rsidRPr="003663D9">
        <w:rPr>
          <w:rFonts w:ascii="Times New Roman" w:hAnsi="Times New Roman"/>
          <w:b/>
          <w:sz w:val="28"/>
          <w:szCs w:val="28"/>
        </w:rPr>
        <w:t xml:space="preserve"> детского дорожно-транспортного травматизма </w:t>
      </w:r>
      <w:r w:rsidRPr="003663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территории оперативного обслуживания ОГИБД</w:t>
      </w:r>
      <w:r w:rsidR="001D45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 МО МВД России «Заречный» за  10</w:t>
      </w:r>
      <w:r w:rsidR="00D641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месяцев</w:t>
      </w:r>
      <w:r w:rsidRPr="003663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2021 года</w:t>
      </w:r>
    </w:p>
    <w:p w:rsidR="003663D9" w:rsidRPr="003663D9" w:rsidRDefault="003663D9" w:rsidP="003663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D4560" w:rsidRPr="001D4560" w:rsidRDefault="001D4560" w:rsidP="001D45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10 месяцев 2021 года на территории обслуживаемой ОГИБДД МО МВД России «Заречный» дорожно-транспортных происшествий с участием несовершеннолетних в возрасте до 16 лет зарегистрировано 14 ДТП </w:t>
      </w:r>
      <w:r w:rsidRPr="001D456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(12;</w:t>
      </w:r>
      <w:r w:rsidRPr="001D4560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1D456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+16%).</w:t>
      </w:r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D4560" w:rsidRPr="001D4560" w:rsidRDefault="001D4560" w:rsidP="001D45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D45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территории Белоярского городского округа за 10 месяцев 2021 года с участием детей до 16 лет зарегистрировано 7 ДТП </w:t>
      </w:r>
      <w:r w:rsidRPr="001D456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(9; -22%)</w:t>
      </w:r>
      <w:r w:rsidRPr="001D45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в которых пострадали 6 детей (4 ребенка – пассажира, 1 ребенок-велосипедист, 1 ребенок  на </w:t>
      </w:r>
      <w:proofErr w:type="spellStart"/>
      <w:r w:rsidRPr="001D45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электросамокате</w:t>
      </w:r>
      <w:proofErr w:type="spellEnd"/>
      <w:r w:rsidRPr="001D45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1 ребенок-пешеход погиб).</w:t>
      </w:r>
    </w:p>
    <w:p w:rsidR="001D4560" w:rsidRPr="001D4560" w:rsidRDefault="001D4560" w:rsidP="001D45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городского округа Заречный за 10 месяцев 2021 года с участием детей до 16 лет зарегистрировано 7 ДТП </w:t>
      </w:r>
      <w:r w:rsidRPr="001D456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(3; + 133%)</w:t>
      </w:r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>, в которых 2 ребенка - пассажиры погибли, травмы получили 5-детей-пешеходов, 1 ребенок пассажир получил травмы.</w:t>
      </w:r>
    </w:p>
    <w:p w:rsidR="001D4560" w:rsidRPr="001D4560" w:rsidRDefault="001D4560" w:rsidP="001D45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D45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территории городского округа Верхнее Дуброво за 10 месяцев 2021 года ДТП не  зарегистрировано (0). </w:t>
      </w:r>
    </w:p>
    <w:p w:rsidR="001D4560" w:rsidRPr="001D4560" w:rsidRDefault="001D4560" w:rsidP="001D4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>20.02.2021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года в 13 асов 15 минут на 63 км + 820 м федеральной автодороги «Екатеринбург – Шадринск – Курган» водитель автомобиля «Хендэ Акцент», при выезде 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второстепенной дороги не уступил право проезда транспортному средству имеющему преимущество в движении «Лада Калина». В результате ДТП пострадал 15-летний пассажир автомобиля «Лада Калина». Ребенок перевозился без нарушений. </w:t>
      </w: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водителя автомобиля.</w:t>
      </w:r>
    </w:p>
    <w:p w:rsidR="001D4560" w:rsidRPr="001D4560" w:rsidRDefault="001D4560" w:rsidP="001D45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01.05.2021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19:10 по адресу п</w:t>
      </w:r>
      <w:proofErr w:type="gramStart"/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елоярский ул. Ленина, 310 Водитель 1991 года рождения (29 лет), двигаясь по автодороге ул. Февральская в сторону г.Асбест, подъезжая к регулируемом перекрестку допустил наезд на пешехода </w:t>
      </w:r>
    </w:p>
    <w:p w:rsidR="001D4560" w:rsidRPr="001D4560" w:rsidRDefault="001D4560" w:rsidP="001D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>2006 (15лет), которая пересекала на велосипеде проезжую часть дороги слева направо по ходу движения автомобиля.</w:t>
      </w:r>
      <w:proofErr w:type="gramEnd"/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Ранена несовершеннолетняя велосипедистка 2006 (15лет) пешеход. В результате ДТП получила травмы: Ушибы колен, ушиб грудной клетки, ссадина правого плеча. </w:t>
      </w: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ребенка.</w:t>
      </w:r>
    </w:p>
    <w:p w:rsidR="001D4560" w:rsidRPr="001D4560" w:rsidRDefault="001D4560" w:rsidP="001D4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>12.06.2021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года в 20 часов 25 минут по адресу: с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осулино ул. Ленина, 76 «А», автодорога «ст.Глубокое – Бобровский» 4 км 450 м. несовершеннолетняя 2008 года рождения, управляя двухколесным механическим транспортным средством </w:t>
      </w:r>
      <w:r w:rsidRPr="001D4560">
        <w:rPr>
          <w:rFonts w:ascii="Times New Roman" w:eastAsia="Times New Roman" w:hAnsi="Times New Roman" w:cs="Times New Roman"/>
          <w:sz w:val="28"/>
          <w:szCs w:val="28"/>
          <w:lang w:val="en-US"/>
        </w:rPr>
        <w:t>KUGO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О, максимальная конструктивная скорость которого составляет 45 км/ч, имеющим электродвигатель номинальной максимальной мощностью 0,50 кВт, двигаясь по улице Ленина от п. Прохладный в сторону д. Поварня, около дома № 76 «А», по 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полосе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предназначенной  для встречного движения, отвлеклась от контроля за движением своего транспортного средства, не заметив остановившийся автомобиль «Хендай», который предоставлял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преимущественное право проезда другим транспортным средствам, вследствие чего допустила наезд на остановившийся автомобиль «Хендэ». Диагноз: ушиб левой голени и левой пятки. Ранена несовершеннолетняя (водитель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электросамоката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D4560" w:rsidRPr="001D4560" w:rsidRDefault="001D4560" w:rsidP="001D45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60">
        <w:rPr>
          <w:rFonts w:ascii="Times New Roman" w:eastAsia="Calibri" w:hAnsi="Times New Roman" w:cs="Times New Roman"/>
          <w:b/>
          <w:sz w:val="28"/>
          <w:szCs w:val="28"/>
        </w:rPr>
        <w:t>31 июля 2021 года</w:t>
      </w:r>
      <w:r w:rsidRPr="001D4560">
        <w:rPr>
          <w:rFonts w:ascii="Times New Roman" w:eastAsia="Calibri" w:hAnsi="Times New Roman" w:cs="Times New Roman"/>
          <w:sz w:val="28"/>
          <w:szCs w:val="28"/>
        </w:rPr>
        <w:t xml:space="preserve">, в 23 часа 00 минут на 23 км федеральной автодороги «Екатеринбург </w:t>
      </w:r>
      <w:proofErr w:type="gramStart"/>
      <w:r w:rsidRPr="001D4560">
        <w:rPr>
          <w:rFonts w:ascii="Times New Roman" w:eastAsia="Calibri" w:hAnsi="Times New Roman" w:cs="Times New Roman"/>
          <w:sz w:val="28"/>
          <w:szCs w:val="28"/>
        </w:rPr>
        <w:t>–Т</w:t>
      </w:r>
      <w:proofErr w:type="gramEnd"/>
      <w:r w:rsidRPr="001D4560">
        <w:rPr>
          <w:rFonts w:ascii="Times New Roman" w:eastAsia="Calibri" w:hAnsi="Times New Roman" w:cs="Times New Roman"/>
          <w:sz w:val="28"/>
          <w:szCs w:val="28"/>
        </w:rPr>
        <w:t xml:space="preserve">юмень»,по предварительной информации, водитель автомобиля </w:t>
      </w:r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>Ниссан</w:t>
      </w:r>
      <w:proofErr w:type="spellEnd"/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>Тиида</w:t>
      </w:r>
      <w:proofErr w:type="spellEnd"/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1D45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двигаясь по автодороге со стороны города Екатеринбург в сторону поселка </w:t>
      </w:r>
      <w:proofErr w:type="spellStart"/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>Режик</w:t>
      </w:r>
      <w:proofErr w:type="spellEnd"/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допустила съезд с проезжей части с последующим наездом на препятствие (дерево) в результате происшествия на месте погибли две женщины три человека в том числе ребенок 2012 года рождения получили травмы. </w:t>
      </w:r>
    </w:p>
    <w:p w:rsidR="001D4560" w:rsidRPr="001D4560" w:rsidRDefault="001D4560" w:rsidP="001D45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60">
        <w:rPr>
          <w:rFonts w:ascii="Times New Roman" w:eastAsia="Calibri" w:hAnsi="Times New Roman" w:cs="Times New Roman"/>
          <w:sz w:val="28"/>
          <w:szCs w:val="28"/>
        </w:rPr>
        <w:t xml:space="preserve">В результате дорожно-транспортного происшествия </w:t>
      </w:r>
      <w:proofErr w:type="gramStart"/>
      <w:r w:rsidRPr="001D4560">
        <w:rPr>
          <w:rFonts w:ascii="Times New Roman" w:eastAsia="Calibri" w:hAnsi="Times New Roman" w:cs="Times New Roman"/>
          <w:sz w:val="28"/>
          <w:szCs w:val="28"/>
        </w:rPr>
        <w:t>погибли 45-летняя женщина пассажир находилась</w:t>
      </w:r>
      <w:proofErr w:type="gramEnd"/>
      <w:r w:rsidRPr="001D4560">
        <w:rPr>
          <w:rFonts w:ascii="Times New Roman" w:eastAsia="Calibri" w:hAnsi="Times New Roman" w:cs="Times New Roman"/>
          <w:sz w:val="28"/>
          <w:szCs w:val="28"/>
        </w:rPr>
        <w:t xml:space="preserve"> на заднем пассажирском сидении справа и 37 – летняя женщина пассажир находилась на переднем пассажирском сидении, ранения получили 47-летняя водитель (стаж управления 10 лет), 47-летний и 9-летний ребенок пассажир автомобиля </w:t>
      </w:r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>Ниссан</w:t>
      </w:r>
      <w:proofErr w:type="spellEnd"/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>Тиида</w:t>
      </w:r>
      <w:proofErr w:type="spellEnd"/>
      <w:r w:rsidRPr="001D4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</w:t>
      </w:r>
      <w:r w:rsidRPr="001D4560">
        <w:rPr>
          <w:rFonts w:ascii="Times New Roman" w:eastAsia="Calibri" w:hAnsi="Times New Roman" w:cs="Times New Roman"/>
          <w:sz w:val="28"/>
          <w:szCs w:val="28"/>
        </w:rPr>
        <w:t xml:space="preserve">Пострадавший ребенок, находился на заднем пассажирском сидении </w:t>
      </w:r>
      <w:proofErr w:type="gramStart"/>
      <w:r w:rsidRPr="001D4560">
        <w:rPr>
          <w:rFonts w:ascii="Times New Roman" w:eastAsia="Calibri" w:hAnsi="Times New Roman" w:cs="Times New Roman"/>
          <w:sz w:val="28"/>
          <w:szCs w:val="28"/>
        </w:rPr>
        <w:t>по середине</w:t>
      </w:r>
      <w:proofErr w:type="gramEnd"/>
      <w:r w:rsidRPr="001D4560">
        <w:rPr>
          <w:rFonts w:ascii="Times New Roman" w:eastAsia="Calibri" w:hAnsi="Times New Roman" w:cs="Times New Roman"/>
          <w:sz w:val="28"/>
          <w:szCs w:val="28"/>
        </w:rPr>
        <w:t>, пристегнут штатным ремнем безопасности. Ребенок перевозился без нарушений Правил дорожного движения. Все были пристегнуты штатным ремнем безопасности.  </w:t>
      </w:r>
      <w:r w:rsidRPr="001D4560">
        <w:rPr>
          <w:rFonts w:ascii="Times New Roman" w:eastAsia="Calibri" w:hAnsi="Times New Roman" w:cs="Times New Roman"/>
          <w:b/>
          <w:sz w:val="28"/>
          <w:szCs w:val="28"/>
        </w:rPr>
        <w:t>ДТП произошло по вине водителя автомобиля «Ниссан»</w:t>
      </w:r>
      <w:proofErr w:type="gramStart"/>
      <w:r w:rsidRPr="001D45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456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D4560" w:rsidRPr="001D4560" w:rsidRDefault="001D4560" w:rsidP="001D4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>04.08.2021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в 19 часов 45 минут на 8 км + 530 м региональной  автодороги «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Белоярский-Белореченский-Кочневское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» по улице Уральская возле дома 22 водитель автомобиля «Ваз-21053» с государственным регистрационным знаком Х320ОК66, Масленникова Виктора Владимировича, 08.08.1958 года рождения, двигаясь со стороны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>очневское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в направлении п. Белоярский, при пересечении нерегулируемого пешеходного перехода не предоставил преимущество в движении, совершил наезд на несовершеннолетнего пешехода, Степанова Богдана Юрьевича 23.11.2011 года рождения (9 лет).</w:t>
      </w: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 xml:space="preserve"> ДТП произошло по вине водителя автомобиля.</w:t>
      </w:r>
    </w:p>
    <w:p w:rsidR="001D4560" w:rsidRPr="001D4560" w:rsidRDefault="001D4560" w:rsidP="001D4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>27.08.2021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года в 11 часов 30 минут на 65 км + 450 м федеральной автодороги «Екатеринбург – Тюмень» водитель автомобиля «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Скания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Николюк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Александра Афанасьевич, 28.09.1961 года рождения при движении со стороны г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юмень в сторону г. Екатеринбург не выбрал безопасную дистанцию до впереди движущегося автомобиля в результате чего допустил столкновение спереди движущимся автомобилем «Лада Гранта» г/н Н861ОВ196 под управлением Новикова Артема Владимировича 12.03.2001 года рождения. </w:t>
      </w: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водителя автомобиля.</w:t>
      </w:r>
    </w:p>
    <w:p w:rsidR="001D4560" w:rsidRPr="001D4560" w:rsidRDefault="001D4560" w:rsidP="001D4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>29.08.2021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года в 15 часов на 41 км + 600 м федеральной автодороги «Екатеринбург – Шадринск – Курган» водитель автомобиля «Опель Астра»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Тишковец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Фирдаусовна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31.08.1981 года рождения, при выполнении маневра разворот не убедилась в безопасности выполнения 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маневра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чего допустила столкновение с попутно движущимся автомобилем «ВАЗ-21154» г/н Р947НР96 под управлением водителя Михайлова Алексея Владимирович, 26.02.1978 года рождения, который двигался со стороны 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. Екатеринбург в сторону г. Каменск – Уральский. </w:t>
      </w: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водителя автомобиля.</w:t>
      </w:r>
    </w:p>
    <w:p w:rsidR="001D4560" w:rsidRPr="001D4560" w:rsidRDefault="001D4560" w:rsidP="001D4560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Анализ</w:t>
      </w:r>
    </w:p>
    <w:p w:rsidR="001D4560" w:rsidRPr="001D4560" w:rsidRDefault="001D4560" w:rsidP="001D4560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>состояния детского дорожно-транспортного травматизма</w:t>
      </w:r>
    </w:p>
    <w:p w:rsidR="001D4560" w:rsidRPr="001D4560" w:rsidRDefault="001D4560" w:rsidP="001D4560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b/>
          <w:sz w:val="28"/>
          <w:szCs w:val="28"/>
        </w:rPr>
        <w:t>на территории Свердловской области за девять месяцев 2021 года</w:t>
      </w:r>
    </w:p>
    <w:p w:rsidR="001D4560" w:rsidRPr="001D4560" w:rsidRDefault="001D4560" w:rsidP="001D4560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560" w:rsidRPr="001D4560" w:rsidRDefault="001D4560" w:rsidP="001D4560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-648335</wp:posOffset>
            </wp:positionH>
            <wp:positionV relativeFrom="paragraph">
              <wp:posOffset>216535</wp:posOffset>
            </wp:positionV>
            <wp:extent cx="3029585" cy="3376930"/>
            <wp:effectExtent l="0" t="0" r="4445" b="6985"/>
            <wp:wrapTight wrapText="bothSides">
              <wp:wrapPolygon edited="0">
                <wp:start x="204" y="305"/>
                <wp:lineTo x="204" y="21234"/>
                <wp:lineTo x="21328" y="21234"/>
                <wp:lineTo x="21328" y="305"/>
                <wp:lineTo x="204" y="305"/>
              </wp:wrapPolygon>
            </wp:wrapTight>
            <wp:docPr id="33" name="Диаграмма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1D4560" w:rsidRPr="001D4560" w:rsidRDefault="001D4560" w:rsidP="001D4560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Свердловской области 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 девять месяцев 2021 г. зарегистрировано 272 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(235; +15,7 %) ДТП с участием несовершеннолетних, в которых 289 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(263; +10%) детей получили травмы различной степени тяжести и 18 (3; +500%) погибли.</w:t>
      </w:r>
    </w:p>
    <w:p w:rsidR="001D4560" w:rsidRPr="001D4560" w:rsidRDefault="001D4560" w:rsidP="001D4560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 w:rsidR="001D4560" w:rsidRPr="001D4560" w:rsidRDefault="001D4560" w:rsidP="001D4560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ДТП с погибшими детьми зарегистрированы в Екатеринбурге и Каменске-Уральском по 3 (+100%),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Ивделе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>, Серове и Заречном по 2 (+100%), Березовском, Первоуральске и Реже по 1 (+100%):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gram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02.01.2021 года около 15 часов в </w:t>
      </w:r>
      <w:r w:rsidRPr="001D45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Каменском </w:t>
      </w:r>
      <w:r w:rsidRPr="001D456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городском округе, с. </w:t>
      </w:r>
      <w:proofErr w:type="spellStart"/>
      <w:r w:rsidRPr="001D4560">
        <w:rPr>
          <w:rFonts w:ascii="Times New Roman" w:eastAsia="Times New Roman" w:hAnsi="Times New Roman" w:cs="Times New Roman"/>
          <w:i/>
          <w:iCs/>
          <w:sz w:val="26"/>
          <w:szCs w:val="26"/>
        </w:rPr>
        <w:t>Рыбниковское</w:t>
      </w:r>
      <w:proofErr w:type="spellEnd"/>
      <w:r w:rsidRPr="001D456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(зона обслуживания МО МВД России «Каменск-Уральский»)</w:t>
      </w:r>
      <w:r w:rsidRPr="001D456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1D45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автомобиля.</w:t>
      </w:r>
      <w:proofErr w:type="gramEnd"/>
      <w:r w:rsidRPr="001D45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От полученных травм мальчик скончался на месте происшествия.</w:t>
      </w:r>
      <w:r w:rsidRPr="001D45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1D4560">
        <w:rPr>
          <w:rFonts w:ascii="Times New Roman" w:eastAsia="Times New Roman" w:hAnsi="Times New Roman" w:cs="Times New Roman"/>
          <w:i/>
          <w:iCs/>
          <w:sz w:val="26"/>
          <w:szCs w:val="26"/>
        </w:rPr>
        <w:t>Погибший находился в сопровождении 14-летней сестры</w:t>
      </w:r>
      <w:r w:rsidRPr="001D45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и еще троих</w:t>
      </w:r>
      <w:r w:rsidRPr="001D456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</w:t>
      </w:r>
      <w:proofErr w:type="spellStart"/>
      <w:r w:rsidRPr="001D4560">
        <w:rPr>
          <w:rFonts w:ascii="Times New Roman" w:eastAsia="Times New Roman" w:hAnsi="Times New Roman" w:cs="Times New Roman"/>
          <w:i/>
          <w:iCs/>
          <w:sz w:val="26"/>
          <w:szCs w:val="26"/>
        </w:rPr>
        <w:t>Световозвращающие</w:t>
      </w:r>
      <w:proofErr w:type="spellEnd"/>
      <w:r w:rsidRPr="001D456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элементы на одежде детей отсутствовали.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07.02.2021 года около 10.00 часов в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Ивдельском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районе на 116 км автодороги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Ивдель-ХМАО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(зона обслуживания МО МВД России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Ивдельский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») водитель автомобиля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Тойота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Ленд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Крузер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», при совершении обгона не убедился в безопасности маневра, не учел погодные условия (метель), допустил столкновение с автомобилем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Киа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Сид», который двигался во встречном направлении. </w:t>
      </w:r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>В результате ДТП погибла 8 –летняя девочка, пассажир автомобиля «</w:t>
      </w:r>
      <w:proofErr w:type="spellStart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>Киа</w:t>
      </w:r>
      <w:proofErr w:type="spellEnd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</w:t>
      </w:r>
      <w:proofErr w:type="spellStart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>Югорска</w:t>
      </w:r>
      <w:proofErr w:type="spellEnd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 xml:space="preserve"> в Екатеринбург на отдых. Водитель «</w:t>
      </w:r>
      <w:proofErr w:type="spellStart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>Киа</w:t>
      </w:r>
      <w:proofErr w:type="spellEnd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 не приходя в сознание.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03.</w:t>
      </w:r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 xml:space="preserve">03.2021 года около 10.00 часов на 88 км автодороги Серов – Сосьва – Гари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(зона обслуживания МО МВД России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Серовский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»)</w:t>
      </w:r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 xml:space="preserve"> 46-летний водитель автомобиля «Рено», </w:t>
      </w:r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>Камаз</w:t>
      </w:r>
      <w:proofErr w:type="spellEnd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br/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</w:t>
      </w:r>
      <w:proofErr w:type="gramStart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>не обратил внимание</w:t>
      </w:r>
      <w:proofErr w:type="gramEnd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 xml:space="preserve">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14.03.2021 около 19.00 в Заречном районе на 48 км автодороги «Екатеринбург-Тюмень» (зона обслуживания МО МВД России «Заречный»), водитель автомобиля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Киа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», не справился с управлением транспортного средства, допустил вые</w:t>
      </w:r>
      <w:proofErr w:type="gram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зд встр</w:t>
      </w:r>
      <w:proofErr w:type="gram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</w:t>
      </w:r>
      <w:proofErr w:type="gram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–н</w:t>
      </w:r>
      <w:proofErr w:type="gram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есовершеннолетние, девочка 11 лет и мальчик 15 лет,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23.03. 2021 года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около 17.00 в г. Екатеринбурге на пр. Космонавтов, напротив дома №92, в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одитель автомобиля «Ниссан» допустил наезд на 9 летнюю девочку </w:t>
      </w:r>
      <w:proofErr w:type="gram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-п</w:t>
      </w:r>
      <w:proofErr w:type="gram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ешехода, которая перебегала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</w:t>
      </w:r>
      <w:proofErr w:type="gram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лямки</w:t>
      </w:r>
      <w:proofErr w:type="gram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и она делала ребенку замечания, но в этот раз не заметила.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Дукато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lastRenderedPageBreak/>
        <w:t>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безопасности, в 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13.05.2021 около 17.00 часов по адресу: г. Реж, ул. Советская напротив дома №57, водитель автомобиля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Хендай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Солярис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спустя три часа скончалась в лечебном 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несовершеннолетние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световозвращающих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Серовский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городской округ,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  <w:t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анимационное отделение ДГКБ №9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Ребенок попросил у отчима мопед, чтобы прокатиться по поселку. Отчим разрешил, при этом мужчина не знал, что несовершеннолетнему нельзя управлять мопедом. В момент ДТП защитной экипировки и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световозвращающих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27.05.2021 около 00.30 часов в Екатеринбурге на 9 км дублера Сибирского тракта водитель автомобиля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Ниссан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Альмера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», двигаясь со стороны г. Тюмень не обеспечил постоянный </w:t>
      </w:r>
      <w:proofErr w:type="gram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Ниссан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Альмера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», с переломом основания черепа, закрытой черепно-мозго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вой травмой госпитализирован в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9 ДГКБ, где на 7 сутки скончался. В момент ДТП ребенок находился на заднем пассажирском сидении 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Ниссан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Альмера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» - отец ребенка, пояснил, что во время движения отвлекся на сына, из-за чего не заметил стоящий автомобиль.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12.06.2021 около 11.30 часов в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Ивдельском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Ивдель-ХМАО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(зона обслуживания МО МВД России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Ивдельский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»)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водитель автомобиля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Ниссан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Кашкай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» по неустановленной причине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Джили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Кулрэй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». В результате ДТП погибли водитель и три пассажира автомобиля «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Ниссан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Кашкай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дети находились в сопровождении родственников, которые также погибли. Еще одна 15-летняя девочка-пассажир этого автомобиля, в тяжелом состоянии госпитализирована в больницу г.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 В момент аварии все были пристегнуты ремнями безопасности. Семья направлялась на отдых.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proofErr w:type="gram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lastRenderedPageBreak/>
        <w:t xml:space="preserve">03.07.2021 около 19.00 часов в Первоуральском районе на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8 км подъездной автодороги к озеру Глухое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нетрезвый и ранее лишенный права управления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водитель автомобиля "Фиат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Дукато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", не обеспечил постоянный контроль за движением, допустил съезд с проезжей части вправо с последующим наездом на препятствие в виде дерева.</w:t>
      </w:r>
      <w:proofErr w:type="gram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04.08.2021 около 20.00 часов по адресу: </w:t>
      </w:r>
      <w:proofErr w:type="gram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Белоярский район, поселок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Белореченский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, ул. Уральская, напротив дома №22, нетрезвый водитель автомобиля «Ваз 21053» 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</w:t>
      </w:r>
      <w:proofErr w:type="gram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кювет. В результате ДТП на месте погиб 9-летний мальчик-пешеход. Еще один пешеход, отец ребенка, серьезных травм не получил, за медицинской помощью не обращался.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Отец мальчика во время перехода дороги держал ребенка за руку, автомобиль не заметил, так как он выехал из-за поворота.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Водитель дать какие-либо пояснения по факту ДТП не смог из-за сильнейшего опьянения.</w:t>
      </w:r>
    </w:p>
    <w:p w:rsidR="001D4560" w:rsidRPr="001D4560" w:rsidRDefault="001D4560" w:rsidP="001D4560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18.08.2021 около 21.00 часов по адресу: </w:t>
      </w:r>
      <w:proofErr w:type="gram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г</w:t>
      </w:r>
      <w:proofErr w:type="gram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. Каменск-Уральский, ул. Пушкина, напротив дома №1, водитель автомобиля «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en-US"/>
        </w:rPr>
        <w:t>Mazda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en-US"/>
        </w:rPr>
        <w:t>CX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-5» допустил наезд на двух пешеходов,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8-летнюю девочку и её 69-летнюю бабушку, которые переходили проезжую часть дороги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/>
        </w:rPr>
        <w:t>Renault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/>
        </w:rPr>
        <w:t>Duster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». В результате ДТП пешеходы от полученных травм скончались на месте ДТП до приезда скорой медицинской помощи. Установлено,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 </w:t>
      </w:r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В момент ДТП </w:t>
      </w:r>
      <w:proofErr w:type="spellStart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световозвращающих</w:t>
      </w:r>
      <w:proofErr w:type="spellEnd"/>
      <w:r w:rsidRPr="001D456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D4560" w:rsidRPr="001D4560" w:rsidRDefault="001D4560" w:rsidP="001D456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1D4560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28.09.2021 около 18.00 часов по адресу: Березовский городской округ, поселок Кедровка</w:t>
      </w:r>
      <w:proofErr w:type="gramStart"/>
      <w:r w:rsidRPr="001D4560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.</w:t>
      </w:r>
      <w:proofErr w:type="gramEnd"/>
      <w:r w:rsidRPr="001D4560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gramStart"/>
      <w:r w:rsidRPr="001D4560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у</w:t>
      </w:r>
      <w:proofErr w:type="gramEnd"/>
      <w:r w:rsidRPr="001D4560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 xml:space="preserve">л. Трудовая, напротив дома №4, </w:t>
      </w:r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 xml:space="preserve">водитель грузового фургона </w:t>
      </w:r>
      <w:proofErr w:type="spellStart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>Зил</w:t>
      </w:r>
      <w:proofErr w:type="spellEnd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Установлено, что мать вместе с дочерью приехала из Туринска к сожителю, затем они вместе поехали в частный дом к бабушке мужчины, чтобы помочь наколоть дрова. В момент аварии женщина 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>Зил</w:t>
      </w:r>
      <w:proofErr w:type="spellEnd"/>
      <w:r w:rsidRPr="001D4560">
        <w:rPr>
          <w:rFonts w:ascii="Times New Roman" w:eastAsia="Times New Roman" w:hAnsi="Times New Roman" w:cs="Times New Roman"/>
          <w:i/>
          <w:sz w:val="26"/>
          <w:szCs w:val="26"/>
        </w:rPr>
        <w:t>, чтобы занять денег, в этот момент ребенок побежал к дороге и залез под автомашину.</w:t>
      </w:r>
    </w:p>
    <w:p w:rsidR="001D4560" w:rsidRPr="001D4560" w:rsidRDefault="001D4560" w:rsidP="001D456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15 муниципальных образованиях Свердловской области отмечается рост аварийности с участием несовершеннолетних. </w:t>
      </w:r>
      <w:proofErr w:type="gramStart"/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200% увеличилось количество ДТП в Верхней Салде (3 ДТП); на 150% в Краснотурьинске (10 ДТП); на 100% в Серове (6 ДТП), Туринске (5 ДТП), </w:t>
      </w:r>
      <w:proofErr w:type="spellStart"/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>Артях</w:t>
      </w:r>
      <w:proofErr w:type="spellEnd"/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Лесном (по 4 ДТП), Байкалово, Красноуральске, Ревде, Североуральске и Сухом Логу (по 2 ДТП), Лесном (1 ДТП); на 75% в Каменске-Уральском (14 ДТП);</w:t>
      </w:r>
      <w:proofErr w:type="gramEnd"/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62,2 % в Екатеринбурге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(120 ДТП); на 16,7% в Заречном 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>(14 ДТП).</w:t>
      </w:r>
    </w:p>
    <w:p w:rsidR="001D4560" w:rsidRPr="001D4560" w:rsidRDefault="001D4560" w:rsidP="001D456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24575" cy="2333625"/>
            <wp:effectExtent l="0" t="0" r="0" b="0"/>
            <wp:docPr id="30" name="Диаграмма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>38% (119) пострадавших и погибших в ДТП детей приходится на среднее школьное звено, 36% (111) на начальную школу и 26% (77) на дошкольный возраст, при этом большая часть пострадали и погибли в качестве пассажиров транспортных средств.</w:t>
      </w:r>
      <w:r w:rsidRPr="001D4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>В 52 случаях ДТП с пострадавшими детьми-пассажирами произошли по причине нарушения ПДД РФ водителем, в чьем автомобиле находились дети, в этих авариях пострадали 60 детей и 8 погибли.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3038475" cy="2257425"/>
            <wp:effectExtent l="0" t="0" r="0" b="0"/>
            <wp:docPr id="29" name="Диаграмма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3028950" cy="2257425"/>
            <wp:effectExtent l="0" t="0" r="0" b="0"/>
            <wp:docPr id="28" name="Диаграмма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>По причине нарушения ПДД РФ водителями автотранспортных средств количество ДТП увеличилось на 11,5% (204), количество раненых в них детей на 6% (224) и погибших на 366% (14).</w:t>
      </w:r>
    </w:p>
    <w:p w:rsidR="001D4560" w:rsidRPr="001D4560" w:rsidRDefault="001D4560" w:rsidP="001D4560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76975" cy="1666875"/>
            <wp:effectExtent l="0" t="0" r="0" b="0"/>
            <wp:docPr id="27" name="Диаграмма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>76% ДТП (203) произошли при ясной погоде и 24% (69)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29350" cy="1838325"/>
            <wp:effectExtent l="0" t="0" r="0" b="0"/>
            <wp:docPr id="26" name="Диаграмма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80% (218) происшествий с участием несовершеннолетних произошли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br/>
        <w:t xml:space="preserve">в период с 12 ч. 00 мин. до 22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17 до 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00 мин. (67 ДТП, 65 ранены,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>6 погибли), когда дети возвращаются домой из образовательных организаций,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 w:rsidR="001D4560" w:rsidRPr="001D4560" w:rsidRDefault="001D4560" w:rsidP="001D456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105525" cy="1809750"/>
            <wp:effectExtent l="0" t="0" r="0" b="0"/>
            <wp:docPr id="25" name="Диаграмма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772150" cy="2066925"/>
            <wp:effectExtent l="0" t="0" r="0" b="0"/>
            <wp:docPr id="24" name="Диаграмма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На автомобильных дорогах, расположенных в черте населенных пунктов, зарегистрировано 228 ДТП (+29%), в которых пострадали 238 (+25%) детей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br/>
        <w:t xml:space="preserve">и 9 погибли (+350%). 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Увеличение количества ДТП в населенных пунктах произошло в Екатеринбурге – 114 (+54%); Каменске-Уральском – 10 (+900%); Березовском -6 (+50%); Заречном – 5 (+400%), Краснотурьинске – 5 (+500%), Туринске - 5 (+100%); Серове – 5 (+67%); в Пригородном районе (Нижний Тагил) -4 (+300%), Лесном- 4 (+100%); в Верхней Салде – 3 (+200%), Каменском районе – 3 (+100%),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Артях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-3 (+50%);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в Кушве, Нижней Туре,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Слободо-Туринском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Сухоложском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районах по 2 (+100%); 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Артемовском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и Красноуфимском районах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1 (+100%). На автомобильных дорогах вне населенных пунктов зарегистрировано 44 ДТП (-22%), травмирован 51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br/>
        <w:t>(-27%) ребенок и 9 погибли (+800%). Из них, на дорогах федерального значения зарегистрировано 14 ДТП (-17%), в которых пострадали 20 детей (-13%) и 2 погибли (+100%). На автомобильных дорогах региональ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значения произошло 45 ДТП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(-11%), в которых 45 (-25%) детей получили травмы различной степени тяжести и 9 погибли (+800%). На дорогах местного значения зарегистрировано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br/>
        <w:t>184 ДТП (+ 31%), в которых травмированы 195 (+31%) детей и 7 погибли (+250%).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362700" cy="1838325"/>
            <wp:effectExtent l="0" t="0" r="0" b="0"/>
            <wp:docPr id="23" name="Диаграмма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116205</wp:posOffset>
            </wp:positionV>
            <wp:extent cx="1062990" cy="1621155"/>
            <wp:effectExtent l="0" t="0" r="3810" b="0"/>
            <wp:wrapSquare wrapText="bothSides"/>
            <wp:docPr id="32" name="Рисунок 32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45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noProof/>
          <w:color w:val="70AD47"/>
          <w:sz w:val="28"/>
          <w:szCs w:val="28"/>
        </w:rPr>
        <w:t xml:space="preserve">         </w:t>
      </w:r>
      <w:r w:rsidRPr="001D456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 участием </w:t>
      </w:r>
      <w:r w:rsidRPr="001D4560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детей - пассажиров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115 (123; -6,5%) ДТП, в которых пострадали 134 (145; -7,6%) детей и 11 (1; +1000%)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погибли. Из них в возрасте до 12 лет травмирован 101 ребенок (-4,7%) и 10 погибли (+100%). 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>Доля ДТП с участием детей - пассажиров от общего показателя аварийности с участием детей составила 42%.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124325" cy="1400175"/>
            <wp:effectExtent l="0" t="0" r="0" b="0"/>
            <wp:docPr id="22" name="Диаграмма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>В 15 случаях ДТП водители перевозили юных пассажиров в возрасте до 12 лет с нарушением правил перевозки детей, в этих авариях травмированы 17 несовершеннолетних (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12;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+54,5%) и 4 погибли (0; +100%): 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Екатеринбург 3 ДТП; Богданович, Заречный,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Ивдель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>, Каменский район, Нижний Тагил, Новая Ляля, Первоуральск, Ревда, Реж, Североуральск, Серов, Тавда по – 1 ДТП.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Троих детей перевозили в детских удерживающих устройствах, не соответствующих росту и весу юных пассажиров, еще двенадцать - без детских удерживающих устройств и не пристегнутыми ремнями безопасности. При этом в 10 случаях нарушения перевозки детей допустили отцы.</w:t>
      </w:r>
    </w:p>
    <w:p w:rsidR="001D4560" w:rsidRPr="001D4560" w:rsidRDefault="001D4560" w:rsidP="001D456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00775" cy="1485900"/>
            <wp:effectExtent l="0" t="0" r="0" b="0"/>
            <wp:docPr id="21" name="Диаграм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справа (62) и слева (46).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(99; +5%), количество травмированных в них детей увеличилось на 3% (116), погибших на 100% (11). 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1062355</wp:posOffset>
            </wp:positionV>
            <wp:extent cx="1333500" cy="1127760"/>
            <wp:effectExtent l="0" t="0" r="0" b="0"/>
            <wp:wrapSquare wrapText="bothSides"/>
            <wp:docPr id="31" name="Рисунок 31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Устойчивый рост количества ДТП с участием детей-пассажиров зарегистрирован с 10.00 до 21.00 (95 ДТП, 116 ранены и 9 погибли), с максимальными значениями аварийности в период с 17.00 до 21.00 (46 ДТП, 51 ранен, 5 погибли) и с 09.00 до 13.00 (31 ДТП, 37 ранены, 5 погибли). Большинство аварий произошло в субботу (23 ДТП, 31 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ранен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>, 3 погибли) и воскресенье (23 ДТП, 27 ранены, 5 погибли).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 w:rsidRPr="001D45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детей-пешеходов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зарегистрировано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br/>
        <w:t>126 ДТП (87; +61,4%), в которых пострадали 125 (91; +51%) детей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br/>
        <w:t>и 6 погибли (2; +400%). От общего показателя аварийности с участием несовершеннолетних доля ДТП с участием дете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пешеходов составила 46%.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>На 32,6% (57) увеличилось количество ДТП по собственной неосторожности несовершеннолетних пешеходов, в которых пострадали 55 детей (+31%) и 3 погибли (+100%).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Каждый второй наезд на ребенка (50 ДТП) совершен на пешеходном переходе. В таких происшествиях травмирован 51 юный пешеход (+42%) и 1 погиб (уровень АППГ). </w:t>
      </w:r>
    </w:p>
    <w:p w:rsidR="001D4560" w:rsidRPr="001D4560" w:rsidRDefault="001D4560" w:rsidP="001D4560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715000" cy="1533525"/>
            <wp:effectExtent l="0" t="0" r="0" b="0"/>
            <wp:docPr id="20" name="Диаграм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На 11% (10) увеличилось количество происшествий с детьми-пешеходами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ребенка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элементов. 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>Участниками каждого второго происшествия (68) стали дети-пешеходы в возрасте 8-9 лет (+190%) и 11-12 лет (+200%). Все наезды произошли в городах и населенных пунктах.</w:t>
      </w:r>
      <w:r w:rsidRPr="001D4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Наибольшие показатели количества ДТП с участием детей-пешеходов зафиксированы во вторник (25 ДТП; +14%) и пятницу (24 ДТП; +72%), при этом 2 ребенка погибли в среду (+100%), во вторник, четверг и субботу по 1 (+100%). Наименьшее количество наездов зарегистрированы в воскресенье (10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lastRenderedPageBreak/>
        <w:t>ДТП).  По времени совершения самым опасным является с 15 до 20 часов, в это время произошло 70% ДТП с участием юных пешеходов (85 ДТП, 84 ранены и 6 погибли), при этом максимальные значения зарегистрированы в период с 17 до 18 часов (23 ДТП, 1 погиб). Минимальное количество ДТП по времени совершения произошло в период с 09 до 10 и с 11 до 12 часов (по 2 ДТП).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>В 39 случаях ДТП (30%)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1D4560" w:rsidRPr="001D4560" w:rsidRDefault="001D4560" w:rsidP="001D456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социальным характеристикам семей, каждый четвертый ребенок-пешеход, попавший в ДТП, воспитывается в неполной семье и воспитанием занимается только один родитель. В двенадцати случаях ДТП произошли с детьми из многодетных семей, когда ребенок находился в сопровождении братьев, либо сестер. В 27 случаях ДТП с детьми, родители которых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имеют постоянное место работы, 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>в 10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</w:t>
      </w:r>
      <w:r w:rsidRPr="001D45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юных водителей </w:t>
      </w:r>
      <w:proofErr w:type="spellStart"/>
      <w:r w:rsidRPr="001D45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велотранспорта</w:t>
      </w:r>
      <w:proofErr w:type="spellEnd"/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зарегистрировано 27 ДТП (+42%), в результате которых пострадали 27 детей (+42%), из них 13 (уровень АППГ) пострадали по собственной неосторожности. При этом во всех случаях у детей отсутствовали средства пассивной защиты (шлем, налокотники, наколенники).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t>Участниками каждого второго случая (12) стали дети-велосипедисты в возрасте 8-9 лет (7; +250%), 12-13 и 15-16 лет (по 4; +300%). Наибольшее количество ДТП зафиксированы в понедельник (7; + 133%) и субботу (6; +200%). По времени совершения самым опасным является с 17 до 19 часов (13 ДТП).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</w:t>
      </w:r>
      <w:r w:rsidRPr="001D45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юных водителей мототранспорта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зарегистрировано 3 ДТП </w:t>
      </w:r>
      <w:r w:rsidRPr="001D45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(-57%), в результате которых погиб 1 ребенок (+100%), еще 2 получили травмы (-71%). Аварии зарегистрированы в Серове, Первоуральске и Нижнем Тагиле. Во всех случаях дети пострадали по собственной неосторожности. В момент ДТП мотошлемы и защитная экипировка отсутствовали. </w:t>
      </w:r>
    </w:p>
    <w:p w:rsidR="001D4560" w:rsidRPr="001D4560" w:rsidRDefault="001D4560" w:rsidP="001D456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819775" cy="1333500"/>
            <wp:effectExtent l="0" t="0" r="0" b="0"/>
            <wp:docPr id="19" name="Диаграм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Вина несовершеннолетних усматривается в 74 ДТП из 272 и составляет 27% от общего количества дорожных аварий с участием детей: Екатеринбург 36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br/>
        <w:t xml:space="preserve">(1 погиб; +50%); Заречный 5 (+400%); Краснотурьинск 4 (+33,3%); по 3 в </w:t>
      </w:r>
      <w:proofErr w:type="spellStart"/>
      <w:r w:rsidRPr="001D4560">
        <w:rPr>
          <w:rFonts w:ascii="Times New Roman" w:eastAsia="Times New Roman" w:hAnsi="Times New Roman" w:cs="Times New Roman"/>
          <w:sz w:val="28"/>
          <w:szCs w:val="28"/>
        </w:rPr>
        <w:t>Артях</w:t>
      </w:r>
      <w:proofErr w:type="spell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(+200%), Березовском (+50%) и Нижнем Тагиле (-50%);  Каменск-Уральский  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br/>
        <w:t>(1 погиб), Байкалово, Первоуральск, Реж (1 погиб) и Туринск по 2 (+100%); Верхняя Салда, Нижние Серги, Талица, Шаля по 1 (+100%);  Тугулым, Богданович, Сысерть и Сухой Лог по 1 (уровень АППГ), Серов (1 погиб), Красноуфимск по 1 (-</w:t>
      </w:r>
      <w:r w:rsidRPr="001D4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50%). </w:t>
      </w:r>
      <w:proofErr w:type="gramStart"/>
      <w:r w:rsidRPr="001D4560">
        <w:rPr>
          <w:rFonts w:ascii="Times New Roman" w:eastAsia="Times New Roman" w:hAnsi="Times New Roman" w:cs="Times New Roman"/>
          <w:sz w:val="28"/>
          <w:szCs w:val="28"/>
        </w:rPr>
        <w:t>Основными нарушениями ПДД РФ, допущенными юными пешеходами, стали переход проезжей части в неустановленном месте, в зоне видимости пешеходного перехода (31), неожиданный выход на проезжую часть из-за стоящего транспортного средства, сооружений или деревьев (15), неподчинение сигналам регулирования (5) и нахождение на проезжей части без цели перехода (3), иные нарушения ПДД пешеходами (3);</w:t>
      </w:r>
      <w:proofErr w:type="gramEnd"/>
      <w:r w:rsidRPr="001D4560">
        <w:rPr>
          <w:rFonts w:ascii="Times New Roman" w:eastAsia="Times New Roman" w:hAnsi="Times New Roman" w:cs="Times New Roman"/>
          <w:sz w:val="28"/>
          <w:szCs w:val="28"/>
        </w:rPr>
        <w:t xml:space="preserve"> детьми-велосипедистами – пересечение проезжей части дороги по пешеходному переходу, не спешившись (6); не предоставление преимущества в движении при выезде с прилегающей территории, второстепенной дороги (11).</w:t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562725" cy="2619375"/>
            <wp:effectExtent l="0" t="0" r="0" b="0"/>
            <wp:docPr id="18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D4560" w:rsidRPr="001D4560" w:rsidRDefault="001D4560" w:rsidP="001D456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560">
        <w:rPr>
          <w:rFonts w:ascii="Times New Roman" w:eastAsia="Times New Roman" w:hAnsi="Times New Roman" w:cs="Times New Roman"/>
          <w:i/>
          <w:sz w:val="28"/>
          <w:szCs w:val="28"/>
        </w:rPr>
        <w:t>УГИБДД ГУ МВД России по Свердловской области</w:t>
      </w:r>
    </w:p>
    <w:p w:rsidR="001D4560" w:rsidRPr="001D4560" w:rsidRDefault="001D4560" w:rsidP="001D4560">
      <w:pPr>
        <w:keepNext/>
        <w:spacing w:before="71"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F97830" w:rsidRPr="0071126E" w:rsidRDefault="00F97830" w:rsidP="00C72FEC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97830" w:rsidRPr="0071126E" w:rsidSect="00D70B8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F7E0D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D14B6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12A86"/>
    <w:multiLevelType w:val="multilevel"/>
    <w:tmpl w:val="856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26526C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5631D50"/>
    <w:multiLevelType w:val="hybridMultilevel"/>
    <w:tmpl w:val="A3243B98"/>
    <w:lvl w:ilvl="0" w:tplc="874E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98074E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646F43A2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0A0"/>
    <w:rsid w:val="000F1D3C"/>
    <w:rsid w:val="001430EE"/>
    <w:rsid w:val="001D4560"/>
    <w:rsid w:val="002618FA"/>
    <w:rsid w:val="00262166"/>
    <w:rsid w:val="002701C8"/>
    <w:rsid w:val="00274E1C"/>
    <w:rsid w:val="003470B1"/>
    <w:rsid w:val="003663D9"/>
    <w:rsid w:val="00385C1C"/>
    <w:rsid w:val="003F175A"/>
    <w:rsid w:val="004548BE"/>
    <w:rsid w:val="004F1C5C"/>
    <w:rsid w:val="00523109"/>
    <w:rsid w:val="005306E2"/>
    <w:rsid w:val="00553B1D"/>
    <w:rsid w:val="005556FA"/>
    <w:rsid w:val="005F39A6"/>
    <w:rsid w:val="00600EC9"/>
    <w:rsid w:val="0071126E"/>
    <w:rsid w:val="00784A42"/>
    <w:rsid w:val="008D2F1D"/>
    <w:rsid w:val="008E3D0B"/>
    <w:rsid w:val="00934953"/>
    <w:rsid w:val="00944EAD"/>
    <w:rsid w:val="00A245F8"/>
    <w:rsid w:val="00AE0E3F"/>
    <w:rsid w:val="00B11BCC"/>
    <w:rsid w:val="00B350A0"/>
    <w:rsid w:val="00BD1AEE"/>
    <w:rsid w:val="00C712C6"/>
    <w:rsid w:val="00C72FEC"/>
    <w:rsid w:val="00D64155"/>
    <w:rsid w:val="00D70B8D"/>
    <w:rsid w:val="00DB1449"/>
    <w:rsid w:val="00DD1890"/>
    <w:rsid w:val="00E87D73"/>
    <w:rsid w:val="00EE343A"/>
    <w:rsid w:val="00F0386B"/>
    <w:rsid w:val="00F27C2A"/>
    <w:rsid w:val="00F97830"/>
    <w:rsid w:val="00FD774D"/>
    <w:rsid w:val="00FF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0.xml"/><Relationship Id="rId23" Type="http://schemas.microsoft.com/office/2007/relationships/stylesWithEffects" Target="stylesWithEffects.xml"/><Relationship Id="rId10" Type="http://schemas.openxmlformats.org/officeDocument/2006/relationships/chart" Target="charts/chart6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floor>
      <c:spPr>
        <a:noFill/>
        <a:ln w="6350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5B9BD5"/>
            </a:solidFill>
            <a:ln w="25485">
              <a:noFill/>
            </a:ln>
          </c:spPr>
          <c:dLbls>
            <c:spPr>
              <a:noFill/>
              <a:ln w="2548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235</c:v>
                </c:pt>
                <c:pt idx="1">
                  <c:v>3</c:v>
                </c:pt>
                <c:pt idx="2">
                  <c:v>263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D7D31"/>
            </a:solidFill>
            <a:ln w="25485">
              <a:noFill/>
            </a:ln>
          </c:spPr>
          <c:dPt>
            <c:idx val="1"/>
            <c:spPr>
              <a:solidFill>
                <a:srgbClr val="FF0000"/>
              </a:solidFill>
              <a:ln w="25485">
                <a:noFill/>
              </a:ln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</c:dLbl>
            <c:spPr>
              <a:noFill/>
              <a:ln w="2548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18</c:v>
                </c:pt>
                <c:pt idx="2">
                  <c:v>289</c:v>
                </c:pt>
              </c:numCache>
            </c:numRef>
          </c:val>
        </c:ser>
        <c:shape val="box"/>
        <c:axId val="148219392"/>
        <c:axId val="148220928"/>
        <c:axId val="0"/>
      </c:bar3DChart>
      <c:catAx>
        <c:axId val="148219392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637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220928"/>
        <c:crosses val="autoZero"/>
        <c:auto val="1"/>
        <c:lblAlgn val="ctr"/>
        <c:lblOffset val="100"/>
      </c:catAx>
      <c:valAx>
        <c:axId val="148220928"/>
        <c:scaling>
          <c:orientation val="minMax"/>
        </c:scaling>
        <c:axPos val="l"/>
        <c:majorGridlines>
          <c:spPr>
            <a:ln w="955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637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219392"/>
        <c:crosses val="autoZero"/>
        <c:crossBetween val="between"/>
      </c:valAx>
      <c:spPr>
        <a:noFill/>
        <a:ln w="25485">
          <a:noFill/>
        </a:ln>
      </c:spPr>
    </c:plotArea>
    <c:legend>
      <c:legendPos val="b"/>
      <c:spPr>
        <a:noFill/>
        <a:ln w="25485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3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5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 w="2538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9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36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36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</c:dLbl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90</c:v>
                </c:pt>
              </c:numCache>
            </c:numRef>
          </c:val>
        </c:ser>
        <c:firstSliceAng val="0"/>
        <c:holeSize val="75"/>
      </c:doughnutChart>
      <c:spPr>
        <a:noFill/>
        <a:ln w="25381">
          <a:noFill/>
        </a:ln>
      </c:spPr>
    </c:plotArea>
    <c:legend>
      <c:legendPos val="b"/>
      <c:spPr>
        <a:noFill/>
        <a:ln w="2538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1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8969799868766425"/>
          <c:y val="0"/>
        </c:manualLayout>
      </c:layout>
      <c:spPr>
        <a:noFill/>
        <a:ln w="2537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8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29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29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29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29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29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29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</c:dLbl>
            <c:spPr>
              <a:noFill/>
              <a:ln w="2537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1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62</c:v>
                </c:pt>
                <c:pt idx="1">
                  <c:v>46</c:v>
                </c:pt>
                <c:pt idx="2">
                  <c:v>9</c:v>
                </c:pt>
                <c:pt idx="3">
                  <c:v>20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plotVisOnly val="1"/>
    <c:dispBlanksAs val="zero"/>
  </c:chart>
  <c:spPr>
    <a:solidFill>
      <a:schemeClr val="bg1"/>
    </a:solidFill>
    <a:ln w="951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 w="25354">
          <a:noFill/>
        </a:ln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7"/>
            <c:spPr>
              <a:solidFill>
                <a:schemeClr val="accent6"/>
              </a:solidFill>
              <a:ln w="19015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15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</c:dLbl>
            <c:spPr>
              <a:noFill/>
              <a:ln w="2535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08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18</c:v>
                </c:pt>
              </c:numCache>
            </c:numRef>
          </c:val>
        </c:ser>
        <c:firstSliceAng val="0"/>
      </c:pieChart>
      <c:spPr>
        <a:noFill/>
        <a:ln w="25354">
          <a:noFill/>
        </a:ln>
      </c:spPr>
    </c:plotArea>
    <c:legend>
      <c:legendPos val="b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0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456136430358593E-2"/>
          <c:y val="5.9549533052554483E-3"/>
        </c:manualLayout>
      </c:layout>
      <c:spPr>
        <a:noFill/>
        <a:ln w="2536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8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36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36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36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36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dLblPos val="bestFit"/>
              <c:showVal val="1"/>
              <c:showCatName val="1"/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dLblPos val="bestFit"/>
              <c:showVal val="1"/>
              <c:showCatName val="1"/>
            </c:dLbl>
            <c:spPr>
              <a:noFill/>
              <a:ln w="2536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1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115</c:v>
                </c:pt>
                <c:pt idx="1">
                  <c:v>126</c:v>
                </c:pt>
                <c:pt idx="2">
                  <c:v>27</c:v>
                </c:pt>
                <c:pt idx="3">
                  <c:v>3</c:v>
                </c:pt>
              </c:numCache>
            </c:numRef>
          </c:val>
        </c:ser>
      </c:pie3DChart>
      <c:spPr>
        <a:noFill/>
        <a:ln w="25369">
          <a:noFill/>
        </a:ln>
      </c:spPr>
    </c:plotArea>
    <c:plotVisOnly val="1"/>
    <c:dispBlanksAs val="zero"/>
  </c:chart>
  <c:spPr>
    <a:solidFill>
      <a:schemeClr val="bg1"/>
    </a:solidFill>
    <a:ln w="951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71834595269"/>
          <c:y val="5.9544261512765474E-3"/>
        </c:manualLayout>
      </c:layout>
      <c:spPr>
        <a:noFill/>
        <a:ln w="25379">
          <a:noFill/>
        </a:ln>
      </c:sp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chemeClr val="accent2">
                  <a:lumMod val="80000"/>
                </a:schemeClr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rgbClr val="FF0000"/>
              </a:solidFill>
              <a:ln w="2537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85501812272"/>
                  <c:y val="-3.0758855872942907E-2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-0.12591891530800028"/>
                  <c:y val="-8.1426135601662966E-2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-5.944067336410537E-2"/>
                  <c:y val="-9.15255666034447E-2"/>
                </c:manualLayout>
              </c:layout>
              <c:dLblPos val="bestFit"/>
              <c:showVal val="1"/>
              <c:showCatName val="1"/>
            </c:dLbl>
            <c:dLbl>
              <c:idx val="3"/>
              <c:layout>
                <c:manualLayout>
                  <c:x val="-7.0411888169151287E-3"/>
                  <c:y val="-3.1604881506600006E-2"/>
                </c:manualLayout>
              </c:layout>
              <c:dLblPos val="bestFit"/>
              <c:showVal val="1"/>
              <c:showCatName val="1"/>
            </c:dLbl>
            <c:dLbl>
              <c:idx val="4"/>
              <c:layout>
                <c:manualLayout>
                  <c:x val="2.9125324851634923E-2"/>
                  <c:y val="-0.10326493859800372"/>
                </c:manualLayout>
              </c:layout>
              <c:dLblPos val="bestFit"/>
              <c:showVal val="1"/>
              <c:showCatName val="1"/>
            </c:dLbl>
            <c:dLbl>
              <c:idx val="5"/>
              <c:layout>
                <c:manualLayout>
                  <c:x val="6.3512578169108089E-2"/>
                  <c:y val="-5.6863038105638308E-2"/>
                </c:manualLayout>
              </c:layout>
              <c:dLblPos val="bestFit"/>
              <c:showVal val="1"/>
              <c:showCatName val="1"/>
            </c:dLbl>
            <c:dLbl>
              <c:idx val="6"/>
              <c:layout>
                <c:manualLayout>
                  <c:x val="2.5094794185209612E-2"/>
                  <c:y val="-6.7513458627890509E-3"/>
                </c:manualLayout>
              </c:layout>
              <c:dLblPos val="bestFit"/>
              <c:showVal val="1"/>
              <c:showCatName val="1"/>
            </c:dLbl>
            <c:dLbl>
              <c:idx val="7"/>
              <c:layout>
                <c:manualLayout>
                  <c:x val="0.21483780044735795"/>
                  <c:y val="-0.11654539532923348"/>
                </c:manualLayout>
              </c:layout>
              <c:dLblPos val="bestFit"/>
              <c:showVal val="1"/>
              <c:showCatName val="1"/>
            </c:dLbl>
            <c:dLbl>
              <c:idx val="8"/>
              <c:layout>
                <c:manualLayout>
                  <c:x val="0.17397428769679643"/>
                  <c:y val="-5.6061076307067456E-2"/>
                </c:manualLayout>
              </c:layout>
              <c:dLblPos val="bestFit"/>
              <c:showVal val="1"/>
              <c:showCatName val="1"/>
            </c:dLbl>
            <c:dLbl>
              <c:idx val="9"/>
              <c:layout>
                <c:manualLayout>
                  <c:x val="4.0367367872119371E-2"/>
                  <c:y val="6.6337145812977311E-3"/>
                </c:manualLayout>
              </c:layout>
              <c:dLblPos val="bestFit"/>
              <c:showVal val="1"/>
              <c:showCatName val="1"/>
            </c:dLbl>
            <c:dLbl>
              <c:idx val="10"/>
              <c:layout>
                <c:manualLayout>
                  <c:x val="0.1538730072534035"/>
                  <c:y val="-8.1414640688162211E-3"/>
                </c:manualLayout>
              </c:layout>
              <c:dLblPos val="bestFit"/>
              <c:showVal val="1"/>
              <c:showCatName val="1"/>
            </c:dLbl>
            <c:dLbl>
              <c:idx val="11"/>
              <c:layout>
                <c:manualLayout>
                  <c:x val="1.2178994867020766E-2"/>
                  <c:y val="7.9353219533685282E-4"/>
                </c:manualLayout>
              </c:layout>
              <c:dLblPos val="bestFit"/>
              <c:showVal val="1"/>
              <c:showCatName val="1"/>
            </c:dLbl>
            <c:dLbl>
              <c:idx val="12"/>
              <c:layout>
                <c:manualLayout>
                  <c:x val="7.9838468467303678E-2"/>
                  <c:y val="8.3587179339808838E-3"/>
                </c:manualLayout>
              </c:layout>
              <c:dLblPos val="bestFit"/>
              <c:showVal val="1"/>
              <c:showCatName val="1"/>
            </c:dLbl>
            <c:dLbl>
              <c:idx val="13"/>
              <c:layout>
                <c:manualLayout>
                  <c:x val="5.8492343629459952E-2"/>
                  <c:y val="3.7955821215778694E-2"/>
                </c:manualLayout>
              </c:layout>
              <c:dLblPos val="bestFit"/>
              <c:showVal val="1"/>
              <c:showCatName val="1"/>
            </c:dLbl>
            <c:dLbl>
              <c:idx val="14"/>
              <c:layout>
                <c:manualLayout>
                  <c:x val="4.490973111119733E-2"/>
                  <c:y val="-3.9540586623752233E-2"/>
                </c:manualLayout>
              </c:layout>
              <c:dLblPos val="bestFit"/>
              <c:showVal val="1"/>
              <c:showCatName val="1"/>
            </c:dLbl>
            <c:dLbl>
              <c:idx val="15"/>
              <c:layout>
                <c:manualLayout>
                  <c:x val="4.2558473294286345E-2"/>
                  <c:y val="-1.9303791405636348E-3"/>
                </c:manualLayout>
              </c:layout>
              <c:dLblPos val="bestFit"/>
              <c:showVal val="1"/>
              <c:showCatName val="1"/>
            </c:dLbl>
            <c:dLbl>
              <c:idx val="16"/>
              <c:layout>
                <c:manualLayout>
                  <c:x val="5.7709682841368841E-2"/>
                  <c:y val="9.2422936184071922E-3"/>
                </c:manualLayout>
              </c:layout>
              <c:dLblPos val="bestFit"/>
              <c:showVal val="1"/>
              <c:showCatName val="1"/>
            </c:dLbl>
            <c:dLbl>
              <c:idx val="17"/>
              <c:layout>
                <c:manualLayout>
                  <c:x val="0.10934684888526866"/>
                  <c:y val="1.3224897982642593E-2"/>
                </c:manualLayout>
              </c:layout>
              <c:dLblPos val="bestFit"/>
              <c:showVal val="1"/>
              <c:showCatName val="1"/>
            </c:dLbl>
            <c:dLbl>
              <c:idx val="18"/>
              <c:layout>
                <c:manualLayout>
                  <c:x val="6.4659158984436494E-3"/>
                  <c:y val="6.1716956913232597E-2"/>
                </c:manualLayout>
              </c:layout>
              <c:dLblPos val="bestFit"/>
              <c:showVal val="1"/>
              <c:showCatName val="1"/>
            </c:dLbl>
            <c:dLbl>
              <c:idx val="19"/>
              <c:layout>
                <c:manualLayout>
                  <c:x val="-3.7979390507221107E-2"/>
                  <c:y val="3.8244726708431522E-2"/>
                </c:manualLayout>
              </c:layout>
              <c:dLblPos val="bestFit"/>
              <c:showVal val="1"/>
              <c:showCatName val="1"/>
            </c:dLbl>
            <c:dLbl>
              <c:idx val="20"/>
              <c:layout>
                <c:manualLayout>
                  <c:x val="-1.5673040869891262E-2"/>
                  <c:y val="-5.2068509684464616E-2"/>
                </c:manualLayout>
              </c:layout>
              <c:dLblPos val="bestFit"/>
              <c:showVal val="1"/>
              <c:showCatName val="1"/>
            </c:dLbl>
            <c:spPr>
              <a:noFill/>
              <a:ln w="2537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17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Лист1!$A$2:$A$22</c:f>
              <c:strCache>
                <c:ptCount val="2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Сысерть</c:v>
                </c:pt>
                <c:pt idx="6">
                  <c:v>Серов</c:v>
                </c:pt>
                <c:pt idx="7">
                  <c:v>Нижние Серги</c:v>
                </c:pt>
                <c:pt idx="8">
                  <c:v>Верхняя Салда</c:v>
                </c:pt>
                <c:pt idx="9">
                  <c:v>Богданович</c:v>
                </c:pt>
                <c:pt idx="10">
                  <c:v>Туринск</c:v>
                </c:pt>
                <c:pt idx="11">
                  <c:v>Реж</c:v>
                </c:pt>
                <c:pt idx="12">
                  <c:v>Первоуральск</c:v>
                </c:pt>
                <c:pt idx="13">
                  <c:v>Байкалово</c:v>
                </c:pt>
                <c:pt idx="14">
                  <c:v>Каменск-Уральский</c:v>
                </c:pt>
                <c:pt idx="15">
                  <c:v>Березовский</c:v>
                </c:pt>
                <c:pt idx="16">
                  <c:v>Арти</c:v>
                </c:pt>
                <c:pt idx="17">
                  <c:v>Нижний Тагил</c:v>
                </c:pt>
                <c:pt idx="18">
                  <c:v>Краснотурьинск</c:v>
                </c:pt>
                <c:pt idx="19">
                  <c:v>Заречный</c:v>
                </c:pt>
                <c:pt idx="20">
                  <c:v>Екатеринбург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5</c:v>
                </c:pt>
                <c:pt idx="20">
                  <c:v>36</c:v>
                </c:pt>
              </c:numCache>
            </c:numRef>
          </c:val>
        </c:ser>
      </c:pie3DChart>
      <c:spPr>
        <a:noFill/>
        <a:ln w="25379">
          <a:noFill/>
        </a:ln>
      </c:spPr>
    </c:plotArea>
    <c:plotVisOnly val="1"/>
    <c:dispBlanksAs val="zero"/>
  </c:chart>
  <c:spPr>
    <a:solidFill>
      <a:schemeClr val="bg1"/>
    </a:solidFill>
    <a:ln w="951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99"/>
              <a:t>Территории, где зарегистрирован рост ДТП</a:t>
            </a:r>
          </a:p>
        </c:rich>
      </c:tx>
      <c:spPr>
        <a:noFill/>
        <a:ln w="25385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39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dLblPos val="outEnd"/>
              <c:showVal val="1"/>
            </c:dLbl>
            <c:spPr>
              <a:noFill/>
              <a:ln w="2538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3</c:v>
                </c:pt>
                <c:pt idx="11">
                  <c:v>4</c:v>
                </c:pt>
                <c:pt idx="12">
                  <c:v>12</c:v>
                </c:pt>
                <c:pt idx="13">
                  <c:v>8</c:v>
                </c:pt>
                <c:pt idx="14">
                  <c:v>74</c:v>
                </c:pt>
              </c:numCache>
            </c:numRef>
          </c:val>
        </c:ser>
        <c:gapWidth val="100"/>
        <c:axId val="148095360"/>
        <c:axId val="148096896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59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38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10</c:v>
                </c:pt>
                <c:pt idx="12">
                  <c:v>14</c:v>
                </c:pt>
                <c:pt idx="13">
                  <c:v>14</c:v>
                </c:pt>
                <c:pt idx="14">
                  <c:v>120</c:v>
                </c:pt>
              </c:numCache>
            </c:numRef>
          </c:val>
        </c:ser>
        <c:marker val="1"/>
        <c:axId val="148095360"/>
        <c:axId val="148096896"/>
      </c:lineChart>
      <c:catAx>
        <c:axId val="148095360"/>
        <c:scaling>
          <c:orientation val="minMax"/>
        </c:scaling>
        <c:axPos val="b"/>
        <c:numFmt formatCode="General" sourceLinked="1"/>
        <c:tickLblPos val="nextTo"/>
        <c:spPr>
          <a:noFill/>
          <a:ln w="952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096896"/>
        <c:crosses val="autoZero"/>
        <c:auto val="1"/>
        <c:lblAlgn val="ctr"/>
        <c:lblOffset val="100"/>
      </c:catAx>
      <c:valAx>
        <c:axId val="148096896"/>
        <c:scaling>
          <c:orientation val="minMax"/>
        </c:scaling>
        <c:axPos val="l"/>
        <c:majorGridlines>
          <c:spPr>
            <a:ln w="952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ln w="634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095360"/>
        <c:crosses val="autoZero"/>
        <c:crossBetween val="between"/>
      </c:valAx>
      <c:spPr>
        <a:noFill/>
        <a:ln w="25385">
          <a:noFill/>
        </a:ln>
      </c:spPr>
    </c:plotArea>
    <c:legend>
      <c:legendPos val="b"/>
      <c:spPr>
        <a:noFill/>
        <a:ln w="2538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 w="2535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98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13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13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13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</c:dLbl>
            <c:spPr>
              <a:noFill/>
              <a:ln w="2535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07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</c:v>
                </c:pt>
                <c:pt idx="1">
                  <c:v>111</c:v>
                </c:pt>
                <c:pt idx="2">
                  <c:v>119</c:v>
                </c:pt>
              </c:numCache>
            </c:numRef>
          </c:val>
        </c:ser>
        <c:firstSliceAng val="0"/>
      </c:pieChart>
      <c:spPr>
        <a:noFill/>
        <a:ln w="25351">
          <a:noFill/>
        </a:ln>
      </c:spPr>
    </c:plotArea>
    <c:legend>
      <c:legendPos val="b"/>
      <c:spPr>
        <a:noFill/>
        <a:ln w="2535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0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98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 w="25351">
          <a:noFill/>
        </a:ln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13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13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</c:dLbl>
            <c:spPr>
              <a:noFill/>
              <a:ln w="2535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07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179</c:v>
                </c:pt>
                <c:pt idx="1">
                  <c:v>128</c:v>
                </c:pt>
              </c:numCache>
            </c:numRef>
          </c:val>
        </c:ser>
        <c:firstSliceAng val="0"/>
      </c:pieChart>
      <c:spPr>
        <a:noFill/>
        <a:ln w="25351">
          <a:noFill/>
        </a:ln>
      </c:spPr>
    </c:plotArea>
    <c:legend>
      <c:legendPos val="b"/>
      <c:spPr>
        <a:noFill/>
        <a:ln w="2535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0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 w="25346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 w="25346">
              <a:noFill/>
            </a:ln>
          </c:spPr>
          <c:dLbls>
            <c:spPr>
              <a:noFill/>
              <a:ln w="2534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203</c:v>
                </c:pt>
                <c:pt idx="1">
                  <c:v>58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 w="25346">
              <a:noFill/>
            </a:ln>
          </c:spPr>
          <c:dLbls>
            <c:spPr>
              <a:noFill/>
              <a:ln w="2534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211</c:v>
                </c:pt>
                <c:pt idx="1">
                  <c:v>65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46">
              <a:noFill/>
            </a:ln>
          </c:spPr>
          <c:dLbls>
            <c:spPr>
              <a:noFill/>
              <a:ln w="2534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gapWidth val="219"/>
        <c:overlap val="-27"/>
        <c:axId val="148405248"/>
        <c:axId val="148427520"/>
      </c:barChart>
      <c:catAx>
        <c:axId val="1484052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0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427520"/>
        <c:crosses val="autoZero"/>
        <c:auto val="1"/>
        <c:lblAlgn val="ctr"/>
        <c:lblOffset val="100"/>
      </c:catAx>
      <c:valAx>
        <c:axId val="148427520"/>
        <c:scaling>
          <c:orientation val="minMax"/>
        </c:scaling>
        <c:axPos val="l"/>
        <c:majorGridlines>
          <c:spPr>
            <a:ln w="950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633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405248"/>
        <c:crosses val="autoZero"/>
        <c:crossBetween val="between"/>
      </c:valAx>
      <c:spPr>
        <a:noFill/>
        <a:ln w="25346">
          <a:noFill/>
        </a:ln>
      </c:spPr>
    </c:plotArea>
    <c:legend>
      <c:legendPos val="b"/>
      <c:spPr>
        <a:noFill/>
        <a:ln w="25346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0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 w="25361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 w="25361">
              <a:noFill/>
            </a:ln>
          </c:spPr>
          <c:dLbls>
            <c:spPr>
              <a:noFill/>
              <a:ln w="2536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23</c:v>
                </c:pt>
                <c:pt idx="2">
                  <c:v>26</c:v>
                </c:pt>
                <c:pt idx="3">
                  <c:v>43</c:v>
                </c:pt>
                <c:pt idx="4">
                  <c:v>83</c:v>
                </c:pt>
                <c:pt idx="5">
                  <c:v>72</c:v>
                </c:pt>
                <c:pt idx="6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 w="25361">
              <a:noFill/>
            </a:ln>
          </c:spPr>
          <c:dLbls>
            <c:spPr>
              <a:noFill/>
              <a:ln w="2536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23</c:v>
                </c:pt>
                <c:pt idx="2">
                  <c:v>27</c:v>
                </c:pt>
                <c:pt idx="3">
                  <c:v>53</c:v>
                </c:pt>
                <c:pt idx="4">
                  <c:v>86</c:v>
                </c:pt>
                <c:pt idx="5">
                  <c:v>75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61">
              <a:noFill/>
            </a:ln>
          </c:spPr>
          <c:dLbls>
            <c:spPr>
              <a:noFill/>
              <a:ln w="2536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</c:ser>
        <c:gapWidth val="219"/>
        <c:overlap val="-27"/>
        <c:axId val="148302848"/>
        <c:axId val="148448000"/>
      </c:barChart>
      <c:catAx>
        <c:axId val="14830284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1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448000"/>
        <c:crosses val="autoZero"/>
        <c:auto val="1"/>
        <c:lblAlgn val="ctr"/>
        <c:lblOffset val="100"/>
        <c:tickLblSkip val="1"/>
      </c:catAx>
      <c:valAx>
        <c:axId val="148448000"/>
        <c:scaling>
          <c:orientation val="minMax"/>
        </c:scaling>
        <c:axPos val="l"/>
        <c:majorGridlines>
          <c:spPr>
            <a:ln w="951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634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302848"/>
        <c:crosses val="autoZero"/>
        <c:crossBetween val="between"/>
      </c:valAx>
      <c:spPr>
        <a:noFill/>
        <a:ln w="25361">
          <a:noFill/>
        </a:ln>
      </c:spPr>
    </c:plotArea>
    <c:legend>
      <c:legendPos val="b"/>
      <c:spPr>
        <a:noFill/>
        <a:ln w="2536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 w="25387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 w="25387">
              <a:noFill/>
            </a:ln>
          </c:spPr>
          <c:dLbls>
            <c:spPr>
              <a:noFill/>
              <a:ln w="2538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</c:v>
                </c:pt>
                <c:pt idx="1">
                  <c:v>41</c:v>
                </c:pt>
                <c:pt idx="2">
                  <c:v>39</c:v>
                </c:pt>
                <c:pt idx="3">
                  <c:v>32</c:v>
                </c:pt>
                <c:pt idx="4">
                  <c:v>43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 w="25387">
              <a:noFill/>
            </a:ln>
          </c:spPr>
          <c:dLbls>
            <c:spPr>
              <a:noFill/>
              <a:ln w="2538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35</c:v>
                </c:pt>
                <c:pt idx="1">
                  <c:v>43</c:v>
                </c:pt>
                <c:pt idx="2">
                  <c:v>38</c:v>
                </c:pt>
                <c:pt idx="3">
                  <c:v>33</c:v>
                </c:pt>
                <c:pt idx="4">
                  <c:v>50</c:v>
                </c:pt>
                <c:pt idx="5">
                  <c:v>52</c:v>
                </c:pt>
                <c:pt idx="6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87">
              <a:noFill/>
            </a:ln>
          </c:spPr>
          <c:dLbls>
            <c:spPr>
              <a:noFill/>
              <a:ln w="2538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gapWidth val="219"/>
        <c:axId val="148573184"/>
        <c:axId val="148595456"/>
      </c:barChart>
      <c:catAx>
        <c:axId val="1485731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595456"/>
        <c:crosses val="autoZero"/>
        <c:auto val="1"/>
        <c:lblAlgn val="ctr"/>
        <c:lblOffset val="100"/>
      </c:catAx>
      <c:valAx>
        <c:axId val="148595456"/>
        <c:scaling>
          <c:orientation val="minMax"/>
        </c:scaling>
        <c:axPos val="l"/>
        <c:majorGridlines>
          <c:spPr>
            <a:ln w="952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634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573184"/>
        <c:crosses val="autoZero"/>
        <c:crossBetween val="between"/>
      </c:valAx>
      <c:spPr>
        <a:noFill/>
        <a:ln w="25387">
          <a:noFill/>
        </a:ln>
      </c:spPr>
    </c:plotArea>
    <c:legend>
      <c:legendPos val="b"/>
      <c:spPr>
        <a:noFill/>
        <a:ln w="25387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470125063"/>
          <c:y val="4.5429758173432195E-3"/>
        </c:manualLayout>
      </c:layout>
      <c:spPr>
        <a:noFill/>
        <a:ln w="25394">
          <a:noFill/>
        </a:ln>
      </c:sp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 w="25394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dLblPos val="bestFit"/>
              <c:showVal val="1"/>
              <c:showCatName val="1"/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 w="25394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5"/>
              <c:layout>
                <c:manualLayout>
                  <c:x val="0.12589904774299912"/>
                  <c:y val="-7.0868085933702765E-2"/>
                </c:manualLayout>
              </c:layout>
              <c:spPr>
                <a:noFill/>
                <a:ln w="25394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dLblPos val="bestFit"/>
              <c:showVal val="1"/>
              <c:showCatName val="1"/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dLblPos val="bestFit"/>
              <c:showVal val="1"/>
              <c:showCatName val="1"/>
            </c:dLbl>
            <c:spPr>
              <a:noFill/>
              <a:ln w="2539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124</c:v>
                </c:pt>
                <c:pt idx="2">
                  <c:v>2</c:v>
                </c:pt>
                <c:pt idx="3">
                  <c:v>11</c:v>
                </c:pt>
                <c:pt idx="4">
                  <c:v>3</c:v>
                </c:pt>
                <c:pt idx="5">
                  <c:v>28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  <c:spPr>
        <a:noFill/>
        <a:ln w="25394">
          <a:noFill/>
        </a:ln>
      </c:spPr>
    </c:plotArea>
    <c:plotVisOnly val="1"/>
    <c:dispBlanksAs val="zero"/>
  </c:chart>
  <c:spPr>
    <a:solidFill>
      <a:schemeClr val="bg1"/>
    </a:solidFill>
    <a:ln w="952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 w="25361">
          <a:noFill/>
        </a:ln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 w="25361">
              <a:noFill/>
            </a:ln>
          </c:spPr>
          <c:dLbls>
            <c:spPr>
              <a:noFill/>
              <a:ln w="2536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45</c:v>
                </c:pt>
                <c:pt idx="3">
                  <c:v>195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61">
              <a:noFill/>
            </a:ln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dLblPos val="outEnd"/>
              <c:showVal val="1"/>
            </c:dLbl>
            <c:spPr>
              <a:noFill/>
              <a:ln w="2536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gapWidth val="182"/>
        <c:axId val="154239360"/>
        <c:axId val="154240896"/>
      </c:barChart>
      <c:catAx>
        <c:axId val="1542393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1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240896"/>
        <c:crosses val="autoZero"/>
        <c:auto val="1"/>
        <c:lblAlgn val="ctr"/>
        <c:lblOffset val="100"/>
      </c:catAx>
      <c:valAx>
        <c:axId val="154240896"/>
        <c:scaling>
          <c:orientation val="minMax"/>
        </c:scaling>
        <c:axPos val="b"/>
        <c:majorGridlines>
          <c:spPr>
            <a:ln w="951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634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239360"/>
        <c:crosses val="autoZero"/>
        <c:crossBetween val="between"/>
      </c:valAx>
      <c:spPr>
        <a:noFill/>
        <a:ln w="25361">
          <a:noFill/>
        </a:ln>
      </c:spPr>
    </c:plotArea>
    <c:legend>
      <c:legendPos val="b"/>
      <c:spPr>
        <a:noFill/>
        <a:ln w="2536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12</Pages>
  <Words>4328</Words>
  <Characters>24675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Кочневский</cp:lastModifiedBy>
  <cp:revision>39</cp:revision>
  <cp:lastPrinted>2021-04-07T04:41:00Z</cp:lastPrinted>
  <dcterms:created xsi:type="dcterms:W3CDTF">2019-06-18T11:00:00Z</dcterms:created>
  <dcterms:modified xsi:type="dcterms:W3CDTF">2021-11-10T16:46:00Z</dcterms:modified>
</cp:coreProperties>
</file>